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D8" w:rsidRPr="00EC2ED8" w:rsidRDefault="00EC2ED8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C2ED8" w:rsidRPr="00EC2ED8" w:rsidRDefault="00EC2E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C2ED8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</w:t>
      </w:r>
    </w:p>
    <w:p w:rsidR="00EC2ED8" w:rsidRPr="00EC2ED8" w:rsidRDefault="00EC2ED8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EC2ED8" w:rsidRPr="00EC2ED8" w:rsidRDefault="00EC2E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ПИСЬМО</w:t>
      </w:r>
    </w:p>
    <w:p w:rsidR="00EC2ED8" w:rsidRPr="00EC2ED8" w:rsidRDefault="00EC2E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от 11 апреля 2018 г. N 18-2/10/В-2575</w:t>
      </w:r>
    </w:p>
    <w:bookmarkEnd w:id="0"/>
    <w:p w:rsidR="00EC2ED8" w:rsidRPr="00EC2ED8" w:rsidRDefault="00EC2E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Министерство труда и социальной защиты Российской Федерации в рамках оказания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 сообщает следующее.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Антикоррупционным законодательством Российской Федерации для отдельных категорий лиц установлены запреты: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- приобретать ценные бумаги в случае, если владение такими ценными бумагами приводит или может привести к конфликту интересов;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- прямо и косвенно владеть и (или) пользоваться иностранными финансовыми инструментами.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В целях исключения нарушения указанных запретов при открытии таким лицам индивидуального инвестиционного счета необходимо учитывать следующее.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ED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абзацем первым пункта 1 статьи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от 22 апреля 1996 г. N 39-ФЗ "О рынке ценных бумаг" (далее - Федеральный закон N 39-ФЗ) индивидуальный инвестиционный счет - счет внутреннего учета, который предназначен для обособленного учета денежных средств, ценных бумаг клиента - физического лица, обязательств по договорам, заключенным за счет указанного клиента, и который открывается и ведется в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ED8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со </w:t>
      </w:r>
      <w:hyperlink r:id="rId6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статьей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N 39-ФЗ.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7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абзацу второму пункта 1 статьи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N 39-ФЗ индивидуальный инвестиционный счет открывается и ведется брокером или управляющим на основании отдельного договора на брокерское обслуживание или договора доверительного управления ценными бумагами, которые предусматривают открытие и ведение индивидуального инвестиционного счета (далее также - договор на ведение индивидуального инвестиционного счета).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Пунктом 8 статьи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N 39-ФЗ предусмотрено, что по договору на ведение индивидуального инвестиционного счета допускается передача клиентом профессиональному участнику рынка ценных бумаг только денежных средств, за исключением случая прекращения одного договора на ведение индивидуального инвестиционного и заключения нового договора (</w:t>
      </w:r>
      <w:hyperlink r:id="rId9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пункт 4 статьи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N 39-ФЗ).</w:t>
      </w:r>
      <w:proofErr w:type="gramEnd"/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Договор на ведение индивидуального инвестиционного счета предусматривает, что приобретаемые ценные бумаги становятся </w:t>
      </w:r>
      <w:r w:rsidRPr="00EC2ED8">
        <w:rPr>
          <w:rFonts w:ascii="Times New Roman" w:hAnsi="Times New Roman" w:cs="Times New Roman"/>
          <w:sz w:val="28"/>
          <w:szCs w:val="28"/>
        </w:rPr>
        <w:lastRenderedPageBreak/>
        <w:t>собственностью клиента.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Одновременно стоит учитывать, что абзац второй </w:t>
      </w:r>
      <w:hyperlink r:id="rId10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пункта 9 статьи 10.2-1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Федерального закона N 39-ФЗ допускает возможность приобретения на организованных торгах российского организатора торговли ценных бумаг иностранных эмитентов за счет имущества, учитываемого на индивидуальном инвестиционном счете.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В этой связи лицам, на которых антикоррупционным законодательством Российской Федерации распространяются вышеуказанные запреты, при заключении договоров на ведение индивидуального инвестиционного счета необходимо исключить приобретение профессиональным участником рынка ценных бумаг в интересах таких лиц ценных бумаг: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ED8">
        <w:rPr>
          <w:rFonts w:ascii="Times New Roman" w:hAnsi="Times New Roman" w:cs="Times New Roman"/>
          <w:sz w:val="28"/>
          <w:szCs w:val="28"/>
        </w:rPr>
        <w:t>владение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которыми приводит или может привести к конфликту интересов;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ED8">
        <w:rPr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иностранными финансовыми инструментами.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ED8">
        <w:rPr>
          <w:rFonts w:ascii="Times New Roman" w:hAnsi="Times New Roman" w:cs="Times New Roman"/>
          <w:sz w:val="28"/>
          <w:szCs w:val="28"/>
        </w:rPr>
        <w:t xml:space="preserve">Дополнительно отмечаем, что в случае представления сведений о доходах, расходах, об имуществе и обязательствах имущественного характера по </w:t>
      </w:r>
      <w:hyperlink r:id="rId11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справки, утвержденной Указом Президента Российской Федерации от 23 июня 2014 г. N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(далее - справка), сведения об открытом индивидуальном инвестиционном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C2ED8"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 указываются в </w:t>
      </w:r>
      <w:hyperlink r:id="rId12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разделе 4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справки.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Также в </w:t>
      </w:r>
      <w:hyperlink r:id="rId13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разделе 5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справки подлежат отражению сведения об имеющихся на отчетную дату ценных бумагах.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Одновременно указываем, что предусмотренные </w:t>
      </w:r>
      <w:hyperlink r:id="rId14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подпунктами 2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5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3 пункта 1 статьи 219.1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инвестиционные налоговые вычеты не подлежат отражению в </w:t>
      </w:r>
      <w:hyperlink r:id="rId16" w:history="1">
        <w:r w:rsidRPr="00EC2ED8">
          <w:rPr>
            <w:rFonts w:ascii="Times New Roman" w:hAnsi="Times New Roman" w:cs="Times New Roman"/>
            <w:color w:val="0000FF"/>
            <w:sz w:val="28"/>
            <w:szCs w:val="28"/>
          </w:rPr>
          <w:t>разделе 1</w:t>
        </w:r>
      </w:hyperlink>
      <w:r w:rsidRPr="00EC2ED8">
        <w:rPr>
          <w:rFonts w:ascii="Times New Roman" w:hAnsi="Times New Roman" w:cs="Times New Roman"/>
          <w:sz w:val="28"/>
          <w:szCs w:val="28"/>
        </w:rPr>
        <w:t xml:space="preserve"> справки.</w:t>
      </w:r>
    </w:p>
    <w:p w:rsidR="00EC2ED8" w:rsidRPr="00EC2ED8" w:rsidRDefault="00EC2ED8" w:rsidP="00EC2E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Просим довести указанную информацию до сведения заинтересованных лиц и учитывать при применении законодательства о противодействии коррупции.</w:t>
      </w:r>
    </w:p>
    <w:p w:rsidR="00EC2ED8" w:rsidRPr="00EC2ED8" w:rsidRDefault="00EC2ED8" w:rsidP="00EC2E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2ED8" w:rsidRPr="00EC2ED8" w:rsidRDefault="00EC2E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А.А.ЧЕРКАСОВ</w:t>
      </w:r>
    </w:p>
    <w:p w:rsidR="00EC2ED8" w:rsidRPr="00EC2ED8" w:rsidRDefault="00EC2ED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D3D98" w:rsidRDefault="001D3D98"/>
    <w:sectPr w:rsidR="001D3D98" w:rsidSect="009B5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D8"/>
    <w:rsid w:val="001D3D98"/>
    <w:rsid w:val="00D35FAF"/>
    <w:rsid w:val="00EC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2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2E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2E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C2E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36657D4D27E05628EBA525748851218DC20158AEA429552C50527CA387A432B7365ED48B23A11EW6o8E" TargetMode="External"/><Relationship Id="rId13" Type="http://schemas.openxmlformats.org/officeDocument/2006/relationships/hyperlink" Target="consultantplus://offline/ref=2F36657D4D27E05628EBA525748851218DCC0E51A9A729552C50527CA387A432B7365ED48B22A614W6oA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F36657D4D27E05628EBA525748851218DC20158AEA429552C50527CA387A432B7365ED48321WAo4E" TargetMode="External"/><Relationship Id="rId12" Type="http://schemas.openxmlformats.org/officeDocument/2006/relationships/hyperlink" Target="consultantplus://offline/ref=2F36657D4D27E05628EBA525748851218DCC0E51A9A729552C50527CA387A432B7365ED48B22A61AW6oEE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F36657D4D27E05628EBA525748851218DCC0E51A9A729552C50527CA387A432B7365ED48B22A719W6o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36657D4D27E05628EBA525748851218DC20158AEA429552C50527CA387A432B7365ED48321WAo6E" TargetMode="External"/><Relationship Id="rId11" Type="http://schemas.openxmlformats.org/officeDocument/2006/relationships/hyperlink" Target="consultantplus://offline/ref=2F36657D4D27E05628EBA525748851218DCC0E51A9A729552C50527CA387A432B7365ED48B22A719W6oEE" TargetMode="External"/><Relationship Id="rId5" Type="http://schemas.openxmlformats.org/officeDocument/2006/relationships/hyperlink" Target="consultantplus://offline/ref=2F36657D4D27E05628EBA525748851218DC20158AEA429552C50527CA387A432B7365ED48321WAo5E" TargetMode="External"/><Relationship Id="rId15" Type="http://schemas.openxmlformats.org/officeDocument/2006/relationships/hyperlink" Target="consultantplus://offline/ref=2F36657D4D27E05628EBA525748851218DC2015FA2A629552C50527CA387A432B7365ED48921A3W1oDE" TargetMode="External"/><Relationship Id="rId10" Type="http://schemas.openxmlformats.org/officeDocument/2006/relationships/hyperlink" Target="consultantplus://offline/ref=2F36657D4D27E05628EBA525748851218DC20158AEA429552C50527CA387A432B7365ED48326WAo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36657D4D27E05628EBA525748851218DC20158AEA429552C50527CA387A432B7365ED48321WAo0E" TargetMode="External"/><Relationship Id="rId14" Type="http://schemas.openxmlformats.org/officeDocument/2006/relationships/hyperlink" Target="consultantplus://offline/ref=2F36657D4D27E05628EBA525748851218DC2015FA2A629552C50527CA387A432B7365EDC8E26WAo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Topina</dc:creator>
  <cp:lastModifiedBy>Topina</cp:lastModifiedBy>
  <cp:revision>1</cp:revision>
  <cp:lastPrinted>2018-06-09T04:44:00Z</cp:lastPrinted>
  <dcterms:created xsi:type="dcterms:W3CDTF">2018-06-09T04:40:00Z</dcterms:created>
  <dcterms:modified xsi:type="dcterms:W3CDTF">2018-06-09T05:19:00Z</dcterms:modified>
</cp:coreProperties>
</file>