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87D" w:rsidRDefault="00A4087D" w:rsidP="00A4087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Порядок организации и осуществления лицензионного контроля</w:t>
      </w:r>
    </w:p>
    <w:p w:rsidR="00A4087D" w:rsidRDefault="00A4087D" w:rsidP="00A4087D">
      <w:pPr>
        <w:autoSpaceDE w:val="0"/>
        <w:autoSpaceDN w:val="0"/>
        <w:adjustRightInd w:val="0"/>
        <w:spacing w:after="0" w:line="240" w:lineRule="auto"/>
        <w:rPr>
          <w:rFonts w:ascii="Arial" w:hAnsi="Arial" w:cs="Arial"/>
          <w:sz w:val="20"/>
          <w:szCs w:val="20"/>
        </w:rPr>
      </w:pPr>
    </w:p>
    <w:p w:rsidR="00A4087D" w:rsidRDefault="00A4087D" w:rsidP="00A4087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К отношениям, связанным с осуществлением лицензионного контроля, применяются положения Федерального </w:t>
      </w:r>
      <w:hyperlink r:id="rId5"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ar4" w:history="1">
        <w:r>
          <w:rPr>
            <w:rFonts w:ascii="Arial" w:hAnsi="Arial" w:cs="Arial"/>
            <w:color w:val="0000FF"/>
            <w:sz w:val="20"/>
            <w:szCs w:val="20"/>
          </w:rPr>
          <w:t>частями 2</w:t>
        </w:r>
      </w:hyperlink>
      <w:r>
        <w:rPr>
          <w:rFonts w:ascii="Arial" w:hAnsi="Arial" w:cs="Arial"/>
          <w:sz w:val="20"/>
          <w:szCs w:val="20"/>
        </w:rPr>
        <w:t xml:space="preserve"> - </w:t>
      </w:r>
      <w:hyperlink w:anchor="Par20" w:history="1">
        <w:r>
          <w:rPr>
            <w:rFonts w:ascii="Arial" w:hAnsi="Arial" w:cs="Arial"/>
            <w:color w:val="0000FF"/>
            <w:sz w:val="20"/>
            <w:szCs w:val="20"/>
          </w:rPr>
          <w:t>10</w:t>
        </w:r>
      </w:hyperlink>
      <w:r>
        <w:rPr>
          <w:rFonts w:ascii="Arial" w:hAnsi="Arial" w:cs="Arial"/>
          <w:sz w:val="20"/>
          <w:szCs w:val="20"/>
        </w:rPr>
        <w:t xml:space="preserve"> настоящей статьи, а также федеральными законами, регулирующими осуществление видов деятельности в соответствии с </w:t>
      </w:r>
      <w:hyperlink r:id="rId6" w:history="1">
        <w:r>
          <w:rPr>
            <w:rFonts w:ascii="Arial" w:hAnsi="Arial" w:cs="Arial"/>
            <w:color w:val="0000FF"/>
            <w:sz w:val="20"/>
            <w:szCs w:val="20"/>
          </w:rPr>
          <w:t>частью 4</w:t>
        </w:r>
        <w:proofErr w:type="gramEnd"/>
        <w:r>
          <w:rPr>
            <w:rFonts w:ascii="Arial" w:hAnsi="Arial" w:cs="Arial"/>
            <w:color w:val="0000FF"/>
            <w:sz w:val="20"/>
            <w:szCs w:val="20"/>
          </w:rPr>
          <w:t xml:space="preserve"> статьи 1</w:t>
        </w:r>
      </w:hyperlink>
      <w:r>
        <w:rPr>
          <w:rFonts w:ascii="Arial" w:hAnsi="Arial" w:cs="Arial"/>
          <w:sz w:val="20"/>
          <w:szCs w:val="20"/>
        </w:rPr>
        <w:t xml:space="preserve"> настоящего Федерального закона. Порядок организации и осуществления лицензионного </w:t>
      </w:r>
      <w:proofErr w:type="gramStart"/>
      <w:r>
        <w:rPr>
          <w:rFonts w:ascii="Arial" w:hAnsi="Arial" w:cs="Arial"/>
          <w:sz w:val="20"/>
          <w:szCs w:val="20"/>
        </w:rPr>
        <w:t>контроля за</w:t>
      </w:r>
      <w:proofErr w:type="gramEnd"/>
      <w:r>
        <w:rPr>
          <w:rFonts w:ascii="Arial" w:hAnsi="Arial" w:cs="Arial"/>
          <w:sz w:val="20"/>
          <w:szCs w:val="20"/>
        </w:rPr>
        <w:t xml:space="preserve"> конкретным видом деятельности устанавливается положением о лицензировании конкретного вида деятельности, утверждаемым Правительством Российской Федерации.</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14.10.2014 </w:t>
      </w:r>
      <w:hyperlink r:id="rId7" w:history="1">
        <w:r>
          <w:rPr>
            <w:rFonts w:ascii="Arial" w:hAnsi="Arial" w:cs="Arial"/>
            <w:color w:val="0000FF"/>
            <w:sz w:val="20"/>
            <w:szCs w:val="20"/>
          </w:rPr>
          <w:t>N 307-ФЗ</w:t>
        </w:r>
      </w:hyperlink>
      <w:r>
        <w:rPr>
          <w:rFonts w:ascii="Arial" w:hAnsi="Arial" w:cs="Arial"/>
          <w:sz w:val="20"/>
          <w:szCs w:val="20"/>
        </w:rPr>
        <w:t xml:space="preserve">, от 03.08.2018 </w:t>
      </w:r>
      <w:hyperlink r:id="rId8" w:history="1">
        <w:r>
          <w:rPr>
            <w:rFonts w:ascii="Arial" w:hAnsi="Arial" w:cs="Arial"/>
            <w:color w:val="0000FF"/>
            <w:sz w:val="20"/>
            <w:szCs w:val="20"/>
          </w:rPr>
          <w:t>N 316-ФЗ</w:t>
        </w:r>
      </w:hyperlink>
      <w:r>
        <w:rPr>
          <w:rFonts w:ascii="Arial" w:hAnsi="Arial" w:cs="Arial"/>
          <w:sz w:val="20"/>
          <w:szCs w:val="20"/>
        </w:rPr>
        <w:t>)</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0" w:name="Par4"/>
      <w:bookmarkEnd w:id="0"/>
      <w:r>
        <w:rPr>
          <w:rFonts w:ascii="Arial" w:hAnsi="Arial" w:cs="Arial"/>
          <w:sz w:val="20"/>
          <w:szCs w:val="20"/>
        </w:rPr>
        <w:t xml:space="preserve">2. 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r:id="rId9" w:history="1">
        <w:r>
          <w:rPr>
            <w:rFonts w:ascii="Arial" w:hAnsi="Arial" w:cs="Arial"/>
            <w:color w:val="0000FF"/>
            <w:sz w:val="20"/>
            <w:szCs w:val="20"/>
          </w:rPr>
          <w:t>статьями 13</w:t>
        </w:r>
      </w:hyperlink>
      <w:r>
        <w:rPr>
          <w:rFonts w:ascii="Arial" w:hAnsi="Arial" w:cs="Arial"/>
          <w:sz w:val="20"/>
          <w:szCs w:val="20"/>
        </w:rPr>
        <w:t xml:space="preserve"> и </w:t>
      </w:r>
      <w:hyperlink r:id="rId10" w:history="1">
        <w:r>
          <w:rPr>
            <w:rFonts w:ascii="Arial" w:hAnsi="Arial" w:cs="Arial"/>
            <w:color w:val="0000FF"/>
            <w:sz w:val="20"/>
            <w:szCs w:val="20"/>
          </w:rPr>
          <w:t>18</w:t>
        </w:r>
      </w:hyperlink>
      <w:r>
        <w:rPr>
          <w:rFonts w:ascii="Arial" w:hAnsi="Arial" w:cs="Arial"/>
          <w:sz w:val="20"/>
          <w:szCs w:val="20"/>
        </w:rP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Федерального </w:t>
      </w:r>
      <w:hyperlink r:id="rId11" w:history="1">
        <w:r>
          <w:rPr>
            <w:rFonts w:ascii="Arial" w:hAnsi="Arial" w:cs="Arial"/>
            <w:color w:val="0000FF"/>
            <w:sz w:val="20"/>
            <w:szCs w:val="20"/>
          </w:rPr>
          <w:t>закона</w:t>
        </w:r>
      </w:hyperlink>
      <w:r>
        <w:rPr>
          <w:rFonts w:ascii="Arial" w:hAnsi="Arial" w:cs="Arial"/>
          <w:sz w:val="20"/>
          <w:szCs w:val="20"/>
        </w:rPr>
        <w:t xml:space="preserve"> от 14.10.2014 N 307-ФЗ)</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соответствии с </w:t>
      </w:r>
      <w:hyperlink w:anchor="Par4" w:history="1">
        <w:r>
          <w:rPr>
            <w:rFonts w:ascii="Arial" w:hAnsi="Arial" w:cs="Arial"/>
            <w:color w:val="0000FF"/>
            <w:sz w:val="20"/>
            <w:szCs w:val="20"/>
          </w:rPr>
          <w:t>частью 2</w:t>
        </w:r>
      </w:hyperlink>
      <w:r>
        <w:rPr>
          <w:rFonts w:ascii="Arial" w:hAnsi="Arial" w:cs="Arial"/>
          <w:sz w:val="20"/>
          <w:szCs w:val="20"/>
        </w:rP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 xml:space="preserve">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r:id="rId12" w:history="1">
        <w:r>
          <w:rPr>
            <w:rFonts w:ascii="Arial" w:hAnsi="Arial" w:cs="Arial"/>
            <w:color w:val="0000FF"/>
            <w:sz w:val="20"/>
            <w:szCs w:val="20"/>
          </w:rPr>
          <w:t>частей 1</w:t>
        </w:r>
      </w:hyperlink>
      <w:r>
        <w:rPr>
          <w:rFonts w:ascii="Arial" w:hAnsi="Arial" w:cs="Arial"/>
          <w:sz w:val="20"/>
          <w:szCs w:val="20"/>
        </w:rPr>
        <w:t xml:space="preserve"> и </w:t>
      </w:r>
      <w:hyperlink r:id="rId13" w:history="1">
        <w:r>
          <w:rPr>
            <w:rFonts w:ascii="Arial" w:hAnsi="Arial" w:cs="Arial"/>
            <w:color w:val="0000FF"/>
            <w:sz w:val="20"/>
            <w:szCs w:val="20"/>
          </w:rPr>
          <w:t>3 статьи 13</w:t>
        </w:r>
      </w:hyperlink>
      <w:r>
        <w:rPr>
          <w:rFonts w:ascii="Arial" w:hAnsi="Arial" w:cs="Arial"/>
          <w:sz w:val="20"/>
          <w:szCs w:val="20"/>
        </w:rPr>
        <w:t xml:space="preserve"> и </w:t>
      </w:r>
      <w:hyperlink r:id="rId14" w:history="1">
        <w:r>
          <w:rPr>
            <w:rFonts w:ascii="Arial" w:hAnsi="Arial" w:cs="Arial"/>
            <w:color w:val="0000FF"/>
            <w:sz w:val="20"/>
            <w:szCs w:val="20"/>
          </w:rPr>
          <w:t>части 3 статьи 18</w:t>
        </w:r>
      </w:hyperlink>
      <w:r>
        <w:rPr>
          <w:rFonts w:ascii="Arial" w:hAnsi="Arial" w:cs="Arial"/>
          <w:sz w:val="20"/>
          <w:szCs w:val="20"/>
        </w:rP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w:t>
      </w:r>
      <w:proofErr w:type="gramEnd"/>
      <w:r>
        <w:rPr>
          <w:rFonts w:ascii="Arial" w:hAnsi="Arial" w:cs="Arial"/>
          <w:sz w:val="20"/>
          <w:szCs w:val="20"/>
        </w:rPr>
        <w:t xml:space="preserve"> </w:t>
      </w:r>
      <w:proofErr w:type="gramStart"/>
      <w:r>
        <w:rPr>
          <w:rFonts w:ascii="Arial" w:hAnsi="Arial" w:cs="Arial"/>
          <w:sz w:val="20"/>
          <w:szCs w:val="20"/>
        </w:rPr>
        <w:t>ресурсах</w:t>
      </w:r>
      <w:proofErr w:type="gramEnd"/>
      <w:r>
        <w:rPr>
          <w:rFonts w:ascii="Arial" w:hAnsi="Arial" w:cs="Arial"/>
          <w:sz w:val="20"/>
          <w:szCs w:val="20"/>
        </w:rPr>
        <w:t>.</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 xml:space="preserve">Предметом внеплановой выездной проверки соискателя лицензии или лицензиата в случаях, предусмотренных </w:t>
      </w:r>
      <w:hyperlink r:id="rId15" w:history="1">
        <w:r>
          <w:rPr>
            <w:rFonts w:ascii="Arial" w:hAnsi="Arial" w:cs="Arial"/>
            <w:color w:val="0000FF"/>
            <w:sz w:val="20"/>
            <w:szCs w:val="20"/>
          </w:rPr>
          <w:t>частями 7</w:t>
        </w:r>
      </w:hyperlink>
      <w:r>
        <w:rPr>
          <w:rFonts w:ascii="Arial" w:hAnsi="Arial" w:cs="Arial"/>
          <w:sz w:val="20"/>
          <w:szCs w:val="20"/>
        </w:rPr>
        <w:t xml:space="preserve"> и </w:t>
      </w:r>
      <w:hyperlink r:id="rId16" w:history="1">
        <w:r>
          <w:rPr>
            <w:rFonts w:ascii="Arial" w:hAnsi="Arial" w:cs="Arial"/>
            <w:color w:val="0000FF"/>
            <w:sz w:val="20"/>
            <w:szCs w:val="20"/>
          </w:rPr>
          <w:t>9 статьи 18</w:t>
        </w:r>
      </w:hyperlink>
      <w:r>
        <w:rPr>
          <w:rFonts w:ascii="Arial" w:hAnsi="Arial" w:cs="Arial"/>
          <w:sz w:val="20"/>
          <w:szCs w:val="20"/>
        </w:rP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w:t>
      </w:r>
      <w:proofErr w:type="gramEnd"/>
      <w:r>
        <w:rPr>
          <w:rFonts w:ascii="Arial" w:hAnsi="Arial" w:cs="Arial"/>
          <w:sz w:val="20"/>
          <w:szCs w:val="20"/>
        </w:rPr>
        <w:t xml:space="preserve"> требованиям.</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1" w:name="Par10"/>
      <w:bookmarkEnd w:id="1"/>
      <w:r>
        <w:rPr>
          <w:rFonts w:ascii="Arial" w:hAnsi="Arial" w:cs="Arial"/>
          <w:sz w:val="20"/>
          <w:szCs w:val="20"/>
        </w:rPr>
        <w:t xml:space="preserve">6. В отношении лицензиата лицензирующим органом проводятся документарные проверки, плановые проверки и в соответствии с </w:t>
      </w:r>
      <w:hyperlink w:anchor="Par20" w:history="1">
        <w:r>
          <w:rPr>
            <w:rFonts w:ascii="Arial" w:hAnsi="Arial" w:cs="Arial"/>
            <w:color w:val="0000FF"/>
            <w:sz w:val="20"/>
            <w:szCs w:val="20"/>
          </w:rPr>
          <w:t>частью 10</w:t>
        </w:r>
      </w:hyperlink>
      <w:r>
        <w:rPr>
          <w:rFonts w:ascii="Arial" w:hAnsi="Arial" w:cs="Arial"/>
          <w:sz w:val="20"/>
          <w:szCs w:val="20"/>
        </w:rP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указанному в </w:t>
      </w:r>
      <w:hyperlink w:anchor="Par22" w:history="1">
        <w:r>
          <w:rPr>
            <w:rFonts w:ascii="Arial" w:hAnsi="Arial" w:cs="Arial"/>
            <w:color w:val="0000FF"/>
            <w:sz w:val="20"/>
            <w:szCs w:val="20"/>
          </w:rPr>
          <w:t>пункте 2 части 10</w:t>
        </w:r>
      </w:hyperlink>
      <w:r>
        <w:rPr>
          <w:rFonts w:ascii="Arial" w:hAnsi="Arial" w:cs="Arial"/>
          <w:sz w:val="20"/>
          <w:szCs w:val="20"/>
        </w:rPr>
        <w:t xml:space="preserve"> настоящей статьи. </w:t>
      </w:r>
      <w:proofErr w:type="gramStart"/>
      <w:r>
        <w:rPr>
          <w:rFonts w:ascii="Arial" w:hAnsi="Arial" w:cs="Arial"/>
          <w:sz w:val="20"/>
          <w:szCs w:val="20"/>
        </w:rPr>
        <w:t>Положением о лицензировании конкретного вида деятельности может быть установлено, что при осуществлении лицензионного контроля за конкретным видом деятельности плановые проверки не проводятся или что при осуществлении лицензионного контроля за конкретным видом деятельности, осуществляемого с применением риск-ориентированного подхода, плановые проверки лицензиатов не проводятся в зависимости от отнесения деятельности лицензиатов и (или) используемых ими производственных объектов к определенной категории риска, определенному классу</w:t>
      </w:r>
      <w:proofErr w:type="gramEnd"/>
      <w:r>
        <w:rPr>
          <w:rFonts w:ascii="Arial" w:hAnsi="Arial" w:cs="Arial"/>
          <w:sz w:val="20"/>
          <w:szCs w:val="20"/>
        </w:rPr>
        <w:t xml:space="preserve"> (категории) опасности.</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 w:history="1">
        <w:r>
          <w:rPr>
            <w:rFonts w:ascii="Arial" w:hAnsi="Arial" w:cs="Arial"/>
            <w:color w:val="0000FF"/>
            <w:sz w:val="20"/>
            <w:szCs w:val="20"/>
          </w:rPr>
          <w:t>закона</w:t>
        </w:r>
      </w:hyperlink>
      <w:r>
        <w:rPr>
          <w:rFonts w:ascii="Arial" w:hAnsi="Arial" w:cs="Arial"/>
          <w:sz w:val="20"/>
          <w:szCs w:val="20"/>
        </w:rPr>
        <w:t xml:space="preserve"> от 03.08.2018 N 316-ФЗ)</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proofErr w:type="gramStart"/>
      <w:r>
        <w:rPr>
          <w:rFonts w:ascii="Arial" w:hAnsi="Arial" w:cs="Arial"/>
          <w:sz w:val="20"/>
          <w:szCs w:val="20"/>
        </w:rPr>
        <w:t xml:space="preserve">Предметом указанных в </w:t>
      </w:r>
      <w:hyperlink w:anchor="Par10" w:history="1">
        <w:r>
          <w:rPr>
            <w:rFonts w:ascii="Arial" w:hAnsi="Arial" w:cs="Arial"/>
            <w:color w:val="0000FF"/>
            <w:sz w:val="20"/>
            <w:szCs w:val="20"/>
          </w:rPr>
          <w:t>части 6</w:t>
        </w:r>
      </w:hyperlink>
      <w:r>
        <w:rPr>
          <w:rFonts w:ascii="Arial" w:hAnsi="Arial" w:cs="Arial"/>
          <w:sz w:val="20"/>
          <w:szCs w:val="20"/>
        </w:rP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roofErr w:type="gramEnd"/>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19" w:history="1">
        <w:r>
          <w:rPr>
            <w:rFonts w:ascii="Arial" w:hAnsi="Arial" w:cs="Arial"/>
            <w:color w:val="0000FF"/>
            <w:sz w:val="20"/>
            <w:szCs w:val="20"/>
          </w:rPr>
          <w:t>порядке</w:t>
        </w:r>
      </w:hyperlink>
      <w:r>
        <w:rPr>
          <w:rFonts w:ascii="Arial" w:hAnsi="Arial" w:cs="Arial"/>
          <w:sz w:val="20"/>
          <w:szCs w:val="20"/>
        </w:rPr>
        <w:t xml:space="preserve"> и утвержденным лицензирующим органом.</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Плановые проверки лицензиатов проводятся:</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не ранее чем через один год со дня принятия решения о предоставлении лицензии;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ранее чем через три года со дня проведения последней плановой проверки, если иное не установлено </w:t>
      </w:r>
      <w:hyperlink w:anchor="Par17" w:history="1">
        <w:r>
          <w:rPr>
            <w:rFonts w:ascii="Arial" w:hAnsi="Arial" w:cs="Arial"/>
            <w:color w:val="0000FF"/>
            <w:sz w:val="20"/>
            <w:szCs w:val="20"/>
          </w:rPr>
          <w:t>пунктами 3</w:t>
        </w:r>
      </w:hyperlink>
      <w:r>
        <w:rPr>
          <w:rFonts w:ascii="Arial" w:hAnsi="Arial" w:cs="Arial"/>
          <w:sz w:val="20"/>
          <w:szCs w:val="20"/>
        </w:rPr>
        <w:t xml:space="preserve"> и </w:t>
      </w:r>
      <w:hyperlink w:anchor="Par18" w:history="1">
        <w:r>
          <w:rPr>
            <w:rFonts w:ascii="Arial" w:hAnsi="Arial" w:cs="Arial"/>
            <w:color w:val="0000FF"/>
            <w:sz w:val="20"/>
            <w:szCs w:val="20"/>
          </w:rPr>
          <w:t>4</w:t>
        </w:r>
      </w:hyperlink>
      <w:r>
        <w:rPr>
          <w:rFonts w:ascii="Arial" w:hAnsi="Arial" w:cs="Arial"/>
          <w:sz w:val="20"/>
          <w:szCs w:val="20"/>
        </w:rPr>
        <w:t xml:space="preserve"> настоящей части;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2" w:name="Par17"/>
      <w:bookmarkEnd w:id="2"/>
      <w:r>
        <w:rPr>
          <w:rFonts w:ascii="Arial" w:hAnsi="Arial" w:cs="Arial"/>
          <w:sz w:val="20"/>
          <w:szCs w:val="20"/>
        </w:rPr>
        <w:t xml:space="preserve">3) в соответствии с периодичностью, установленной положением о лицензировании для лицензионного контроля, осуществляемого с применением </w:t>
      </w:r>
      <w:proofErr w:type="gramStart"/>
      <w:r>
        <w:rPr>
          <w:rFonts w:ascii="Arial" w:hAnsi="Arial" w:cs="Arial"/>
          <w:sz w:val="20"/>
          <w:szCs w:val="20"/>
        </w:rPr>
        <w:t>риск-ориентированного</w:t>
      </w:r>
      <w:proofErr w:type="gramEnd"/>
      <w:r>
        <w:rPr>
          <w:rFonts w:ascii="Arial" w:hAnsi="Arial" w:cs="Arial"/>
          <w:sz w:val="20"/>
          <w:szCs w:val="20"/>
        </w:rPr>
        <w:t xml:space="preserve"> подхода;</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3" w:name="Par18"/>
      <w:bookmarkEnd w:id="3"/>
      <w:r>
        <w:rPr>
          <w:rFonts w:ascii="Arial" w:hAnsi="Arial" w:cs="Arial"/>
          <w:sz w:val="20"/>
          <w:szCs w:val="20"/>
        </w:rPr>
        <w:t>4) в соответствии с периодичностью, установленной Правительством Российской Федерации для плановых проверок лицензиата, осуществляющего лицензируемый вид деятельности в сферах здравоохранения, образования, в социальной сфере.</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20" w:history="1">
        <w:r>
          <w:rPr>
            <w:rFonts w:ascii="Arial" w:hAnsi="Arial" w:cs="Arial"/>
            <w:color w:val="0000FF"/>
            <w:sz w:val="20"/>
            <w:szCs w:val="20"/>
          </w:rPr>
          <w:t>закона</w:t>
        </w:r>
      </w:hyperlink>
      <w:r>
        <w:rPr>
          <w:rFonts w:ascii="Arial" w:hAnsi="Arial" w:cs="Arial"/>
          <w:sz w:val="20"/>
          <w:szCs w:val="20"/>
        </w:rPr>
        <w:t xml:space="preserve"> от 03.08.2018 N 316-ФЗ)</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4" w:name="Par20"/>
      <w:bookmarkEnd w:id="4"/>
      <w:r>
        <w:rPr>
          <w:rFonts w:ascii="Arial" w:hAnsi="Arial" w:cs="Arial"/>
          <w:sz w:val="20"/>
          <w:szCs w:val="20"/>
        </w:rPr>
        <w:t>10. Внеплановая выездная проверка лицензиата проводится по следующим основаниям:</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bookmarkStart w:id="5" w:name="Par22"/>
      <w:bookmarkEnd w:id="5"/>
      <w:r>
        <w:rPr>
          <w:rFonts w:ascii="Arial" w:hAnsi="Arial" w:cs="Arial"/>
          <w:sz w:val="20"/>
          <w:szCs w:val="20"/>
        </w:rPr>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истечение срока, на который было приостановлено действие лицензии в соответствии с </w:t>
      </w:r>
      <w:hyperlink r:id="rId21" w:history="1">
        <w:r>
          <w:rPr>
            <w:rFonts w:ascii="Arial" w:hAnsi="Arial" w:cs="Arial"/>
            <w:color w:val="0000FF"/>
            <w:sz w:val="20"/>
            <w:szCs w:val="20"/>
          </w:rPr>
          <w:t>частями 2</w:t>
        </w:r>
      </w:hyperlink>
      <w:r>
        <w:rPr>
          <w:rFonts w:ascii="Arial" w:hAnsi="Arial" w:cs="Arial"/>
          <w:sz w:val="20"/>
          <w:szCs w:val="20"/>
        </w:rPr>
        <w:t xml:space="preserve"> и </w:t>
      </w:r>
      <w:hyperlink r:id="rId22" w:history="1">
        <w:r>
          <w:rPr>
            <w:rFonts w:ascii="Arial" w:hAnsi="Arial" w:cs="Arial"/>
            <w:color w:val="0000FF"/>
            <w:sz w:val="20"/>
            <w:szCs w:val="20"/>
          </w:rPr>
          <w:t>3 статьи 20</w:t>
        </w:r>
      </w:hyperlink>
      <w:r>
        <w:rPr>
          <w:rFonts w:ascii="Arial" w:hAnsi="Arial" w:cs="Arial"/>
          <w:sz w:val="20"/>
          <w:szCs w:val="20"/>
        </w:rPr>
        <w:t xml:space="preserve"> настоящего Федерального закона;</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наличие ходатайства лицензиата о проведении лицензирующим органом внеплановой выездной проверки в целях </w:t>
      </w:r>
      <w:proofErr w:type="gramStart"/>
      <w:r>
        <w:rPr>
          <w:rFonts w:ascii="Arial" w:hAnsi="Arial" w:cs="Arial"/>
          <w:sz w:val="20"/>
          <w:szCs w:val="20"/>
        </w:rPr>
        <w:t>установления факта досрочного исполнения предписания лицензирующего органа</w:t>
      </w:r>
      <w:proofErr w:type="gramEnd"/>
      <w:r>
        <w:rPr>
          <w:rFonts w:ascii="Arial" w:hAnsi="Arial" w:cs="Arial"/>
          <w:sz w:val="20"/>
          <w:szCs w:val="20"/>
        </w:rPr>
        <w:t>;</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Внеплановая выездная проверка может быть проведена лицензирующим органом по основанию, указанному в </w:t>
      </w:r>
      <w:hyperlink w:anchor="Par22" w:history="1">
        <w:r>
          <w:rPr>
            <w:rFonts w:ascii="Arial" w:hAnsi="Arial" w:cs="Arial"/>
            <w:color w:val="0000FF"/>
            <w:sz w:val="20"/>
            <w:szCs w:val="20"/>
          </w:rPr>
          <w:t>пункте 2 части 10</w:t>
        </w:r>
      </w:hyperlink>
      <w:r>
        <w:rPr>
          <w:rFonts w:ascii="Arial" w:hAnsi="Arial" w:cs="Arial"/>
          <w:sz w:val="20"/>
          <w:szCs w:val="20"/>
        </w:rPr>
        <w:t xml:space="preserve"> настоящей статьи, после согласования в установленном </w:t>
      </w:r>
      <w:hyperlink r:id="rId23" w:history="1">
        <w:r>
          <w:rPr>
            <w:rFonts w:ascii="Arial" w:hAnsi="Arial" w:cs="Arial"/>
            <w:color w:val="0000FF"/>
            <w:sz w:val="20"/>
            <w:szCs w:val="20"/>
          </w:rPr>
          <w:t>порядке</w:t>
        </w:r>
      </w:hyperlink>
      <w:r>
        <w:rPr>
          <w:rFonts w:ascii="Arial" w:hAnsi="Arial" w:cs="Arial"/>
          <w:sz w:val="20"/>
          <w:szCs w:val="20"/>
        </w:rPr>
        <w:t xml:space="preserve"> с органом прокуратуры по месту осуществления лицензируемого вида деятельности.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Лицензирующий орган вправе проводить внеплановую выездную проверку по основанию, указанному в </w:t>
      </w:r>
      <w:hyperlink w:anchor="Par22" w:history="1">
        <w:r>
          <w:rPr>
            <w:rFonts w:ascii="Arial" w:hAnsi="Arial" w:cs="Arial"/>
            <w:color w:val="0000FF"/>
            <w:sz w:val="20"/>
            <w:szCs w:val="20"/>
          </w:rPr>
          <w:t>пункте 2 части 10</w:t>
        </w:r>
      </w:hyperlink>
      <w:r>
        <w:rPr>
          <w:rFonts w:ascii="Arial" w:hAnsi="Arial" w:cs="Arial"/>
          <w:sz w:val="20"/>
          <w:szCs w:val="20"/>
        </w:rPr>
        <w:t xml:space="preserve"> настоящей статьи, без направления предварительного уведомления лицензиату.</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A4087D" w:rsidRDefault="00A4087D" w:rsidP="00A4087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15. </w:t>
      </w:r>
      <w:proofErr w:type="gramStart"/>
      <w:r>
        <w:rPr>
          <w:rFonts w:ascii="Arial" w:hAnsi="Arial" w:cs="Arial"/>
          <w:sz w:val="20"/>
          <w:szCs w:val="20"/>
        </w:rPr>
        <w:t xml:space="preserve">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деятельности, в </w:t>
      </w:r>
      <w:hyperlink r:id="rId2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w:t>
      </w:r>
      <w:proofErr w:type="gramEnd"/>
      <w:r>
        <w:rPr>
          <w:rFonts w:ascii="Arial" w:hAnsi="Arial" w:cs="Arial"/>
          <w:sz w:val="20"/>
          <w:szCs w:val="20"/>
        </w:rPr>
        <w:t xml:space="preserve"> системы, </w:t>
      </w:r>
      <w:hyperlink r:id="rId25" w:history="1">
        <w:r>
          <w:rPr>
            <w:rFonts w:ascii="Arial" w:hAnsi="Arial" w:cs="Arial"/>
            <w:color w:val="0000FF"/>
            <w:sz w:val="20"/>
            <w:szCs w:val="20"/>
          </w:rPr>
          <w:t>порядок</w:t>
        </w:r>
      </w:hyperlink>
      <w:r>
        <w:rPr>
          <w:rFonts w:ascii="Arial" w:hAnsi="Arial" w:cs="Arial"/>
          <w:sz w:val="20"/>
          <w:szCs w:val="20"/>
        </w:rPr>
        <w:t xml:space="preserve"> формирования и </w:t>
      </w:r>
      <w:proofErr w:type="gramStart"/>
      <w:r>
        <w:rPr>
          <w:rFonts w:ascii="Arial" w:hAnsi="Arial" w:cs="Arial"/>
          <w:sz w:val="20"/>
          <w:szCs w:val="20"/>
        </w:rPr>
        <w:t>ведения</w:t>
      </w:r>
      <w:proofErr w:type="gramEnd"/>
      <w:r>
        <w:rPr>
          <w:rFonts w:ascii="Arial" w:hAnsi="Arial" w:cs="Arial"/>
          <w:sz w:val="20"/>
          <w:szCs w:val="20"/>
        </w:rPr>
        <w:t xml:space="preserve"> которой определяется Правительством Российской Федерации.</w:t>
      </w:r>
    </w:p>
    <w:p w:rsidR="00A4087D" w:rsidRDefault="00A4087D" w:rsidP="00A408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26" w:history="1">
        <w:r>
          <w:rPr>
            <w:rFonts w:ascii="Arial" w:hAnsi="Arial" w:cs="Arial"/>
            <w:color w:val="0000FF"/>
            <w:sz w:val="20"/>
            <w:szCs w:val="20"/>
          </w:rPr>
          <w:t>законом</w:t>
        </w:r>
      </w:hyperlink>
      <w:r>
        <w:rPr>
          <w:rFonts w:ascii="Arial" w:hAnsi="Arial" w:cs="Arial"/>
          <w:sz w:val="20"/>
          <w:szCs w:val="20"/>
        </w:rPr>
        <w:t xml:space="preserve"> от 25.06.2012 N 93-ФЗ)</w:t>
      </w:r>
    </w:p>
    <w:p w:rsidR="00E90435" w:rsidRDefault="00E90435">
      <w:bookmarkStart w:id="6" w:name="_GoBack"/>
      <w:bookmarkEnd w:id="6"/>
    </w:p>
    <w:sectPr w:rsidR="00E90435" w:rsidSect="0016249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AAE"/>
    <w:rsid w:val="00A4087D"/>
    <w:rsid w:val="00CE3AAE"/>
    <w:rsid w:val="00E90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5801C7BF56D0BCC4ABCB78A768035233930FBF96C06D7810D1599BAC25BEC6D39E3853D63D7782281C73C76BF2E74174E2D3ABA88D9E98H8v7K" TargetMode="External"/><Relationship Id="rId13" Type="http://schemas.openxmlformats.org/officeDocument/2006/relationships/hyperlink" Target="consultantplus://offline/ref=C85801C7BF56D0BCC4ABCB78A768035233900BB793CF6D7810D1599BAC25BEC6D39E3853D63D7681261C73C76BF2E74174E2D3ABA88D9E98H8v7K" TargetMode="External"/><Relationship Id="rId18" Type="http://schemas.openxmlformats.org/officeDocument/2006/relationships/hyperlink" Target="consultantplus://offline/ref=C85801C7BF56D0BCC4ABCB78A768035233930FBF96C06D7810D1599BAC25BEC6D39E3853D63D7782271C73C76BF2E74174E2D3ABA88D9E98H8v7K" TargetMode="External"/><Relationship Id="rId26" Type="http://schemas.openxmlformats.org/officeDocument/2006/relationships/hyperlink" Target="consultantplus://offline/ref=C85801C7BF56D0BCC4ABCB78A7680352319B08BC97C06D7810D1599BAC25BEC6D39E3853D63D73842C1C73C76BF2E74174E2D3ABA88D9E98H8v7K" TargetMode="External"/><Relationship Id="rId3" Type="http://schemas.openxmlformats.org/officeDocument/2006/relationships/settings" Target="settings.xml"/><Relationship Id="rId21" Type="http://schemas.openxmlformats.org/officeDocument/2006/relationships/hyperlink" Target="consultantplus://offline/ref=C85801C7BF56D0BCC4ABCB78A768035233900BB793CF6D7810D1599BAC25BEC6D39E3853D63D75822B1C73C76BF2E74174E2D3ABA88D9E98H8v7K" TargetMode="External"/><Relationship Id="rId7" Type="http://schemas.openxmlformats.org/officeDocument/2006/relationships/hyperlink" Target="consultantplus://offline/ref=C85801C7BF56D0BCC4ABCB78A768035233930BB797C56D7810D1599BAC25BEC6D39E3853D63D708C271C73C76BF2E74174E2D3ABA88D9E98H8v7K" TargetMode="External"/><Relationship Id="rId12" Type="http://schemas.openxmlformats.org/officeDocument/2006/relationships/hyperlink" Target="consultantplus://offline/ref=C85801C7BF56D0BCC4ABCB78A768035233900BB793CF6D7810D1599BAC25BEC6D39E3853D63D76812C1C73C76BF2E74174E2D3ABA88D9E98H8v7K" TargetMode="External"/><Relationship Id="rId17" Type="http://schemas.openxmlformats.org/officeDocument/2006/relationships/hyperlink" Target="consultantplus://offline/ref=C85801C7BF56D0BCC4ABCB78A7680352329202BB90CE6D7810D1599BAC25BEC6D39E3853D63F77852E1C73C76BF2E74174E2D3ABA88D9E98H8v7K" TargetMode="External"/><Relationship Id="rId25" Type="http://schemas.openxmlformats.org/officeDocument/2006/relationships/hyperlink" Target="consultantplus://offline/ref=C85801C7BF56D0BCC4ABCB78A768035233910EBC91C66D7810D1599BAC25BEC6D39E3853D63D77832E1C73C76BF2E74174E2D3ABA88D9E98H8v7K" TargetMode="External"/><Relationship Id="rId2" Type="http://schemas.microsoft.com/office/2007/relationships/stylesWithEffects" Target="stylesWithEffects.xml"/><Relationship Id="rId16" Type="http://schemas.openxmlformats.org/officeDocument/2006/relationships/hyperlink" Target="consultantplus://offline/ref=C85801C7BF56D0BCC4ABCB78A768035233900BB793CF6D7810D1599BAC25BEC6D39E3853D63D75862C1C73C76BF2E74174E2D3ABA88D9E98H8v7K" TargetMode="External"/><Relationship Id="rId20" Type="http://schemas.openxmlformats.org/officeDocument/2006/relationships/hyperlink" Target="consultantplus://offline/ref=C85801C7BF56D0BCC4ABCB78A768035233930FBF96C06D7810D1599BAC25BEC6D39E3853D63D7782261C73C76BF2E74174E2D3ABA88D9E98H8v7K" TargetMode="External"/><Relationship Id="rId1" Type="http://schemas.openxmlformats.org/officeDocument/2006/relationships/styles" Target="styles.xml"/><Relationship Id="rId6" Type="http://schemas.openxmlformats.org/officeDocument/2006/relationships/hyperlink" Target="consultantplus://offline/ref=C85801C7BF56D0BCC4ABCB78A768035233900BB793CF6D7810D1599BAC25BEC6D39E3850D73623D56B422A952FB9EA4B6AFED3A3HBvFK" TargetMode="External"/><Relationship Id="rId11" Type="http://schemas.openxmlformats.org/officeDocument/2006/relationships/hyperlink" Target="consultantplus://offline/ref=C85801C7BF56D0BCC4ABCB78A768035233930BB797C56D7810D1599BAC25BEC6D39E3853D63D708C261C73C76BF2E74174E2D3ABA88D9E98H8v7K" TargetMode="External"/><Relationship Id="rId24" Type="http://schemas.openxmlformats.org/officeDocument/2006/relationships/hyperlink" Target="consultantplus://offline/ref=C85801C7BF56D0BCC4ABCB78A7680352329A0EBB91C26D7810D1599BAC25BEC6D39E3853D63D77852F1C73C76BF2E74174E2D3ABA88D9E98H8v7K" TargetMode="External"/><Relationship Id="rId5" Type="http://schemas.openxmlformats.org/officeDocument/2006/relationships/hyperlink" Target="consultantplus://offline/ref=C85801C7BF56D0BCC4ABCB78A768035233900BB791C16D7810D1599BAC25BEC6C19E605FD53D6984260925962EHAvEK" TargetMode="External"/><Relationship Id="rId15" Type="http://schemas.openxmlformats.org/officeDocument/2006/relationships/hyperlink" Target="consultantplus://offline/ref=C85801C7BF56D0BCC4ABCB78A768035233900BB793CF6D7810D1599BAC25BEC6D39E3853D63D75862E1C73C76BF2E74174E2D3ABA88D9E98H8v7K" TargetMode="External"/><Relationship Id="rId23" Type="http://schemas.openxmlformats.org/officeDocument/2006/relationships/hyperlink" Target="consultantplus://offline/ref=C85801C7BF56D0BCC4ABCB78A7680352319B08B791C16D7810D1599BAC25BEC6D39E3853D63D7783271C73C76BF2E74174E2D3ABA88D9E98H8v7K" TargetMode="External"/><Relationship Id="rId28" Type="http://schemas.openxmlformats.org/officeDocument/2006/relationships/theme" Target="theme/theme1.xml"/><Relationship Id="rId10" Type="http://schemas.openxmlformats.org/officeDocument/2006/relationships/hyperlink" Target="consultantplus://offline/ref=C85801C7BF56D0BCC4ABCB78A768035233900BB793CF6D7810D1599BAC25BEC6D39E3853D63D75852B1C73C76BF2E74174E2D3ABA88D9E98H8v7K" TargetMode="External"/><Relationship Id="rId19" Type="http://schemas.openxmlformats.org/officeDocument/2006/relationships/hyperlink" Target="consultantplus://offline/ref=C85801C7BF56D0BCC4ABCB78A768035233920DB699CF6D7810D1599BAC25BEC6D39E3853D63D7784261C73C76BF2E74174E2D3ABA88D9E98H8v7K" TargetMode="External"/><Relationship Id="rId4" Type="http://schemas.openxmlformats.org/officeDocument/2006/relationships/webSettings" Target="webSettings.xml"/><Relationship Id="rId9" Type="http://schemas.openxmlformats.org/officeDocument/2006/relationships/hyperlink" Target="consultantplus://offline/ref=C85801C7BF56D0BCC4ABCB78A768035233900BB793CF6D7810D1599BAC25BEC6D39E3853D63D76812D1C73C76BF2E74174E2D3ABA88D9E98H8v7K" TargetMode="External"/><Relationship Id="rId14" Type="http://schemas.openxmlformats.org/officeDocument/2006/relationships/hyperlink" Target="consultantplus://offline/ref=C85801C7BF56D0BCC4ABCB78A768035233900BB793CF6D7810D1599BAC25BEC6D39E3853D63D7585281C73C76BF2E74174E2D3ABA88D9E98H8v7K" TargetMode="External"/><Relationship Id="rId22" Type="http://schemas.openxmlformats.org/officeDocument/2006/relationships/hyperlink" Target="consultantplus://offline/ref=C85801C7BF56D0BCC4ABCB78A768035233900BB793CF6D7810D1599BAC25BEC6D39E3853D63D75822A1C73C76BF2E74174E2D3ABA88D9E98H8v7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1875</Words>
  <Characters>10691</Characters>
  <Application>Microsoft Office Word</Application>
  <DocSecurity>0</DocSecurity>
  <Lines>89</Lines>
  <Paragraphs>25</Paragraphs>
  <ScaleCrop>false</ScaleCrop>
  <Company/>
  <LinksUpToDate>false</LinksUpToDate>
  <CharactersWithSpaces>12541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Минэкономразвития РА</dc:creator>
  <cp:keywords/>
  <dc:description/>
  <cp:lastModifiedBy>Минэкономразвития РА</cp:lastModifiedBy>
  <cp:revision>2</cp:revision>
  <dcterms:created xsi:type="dcterms:W3CDTF">2019-09-30T10:47:00Z</dcterms:created>
  <dcterms:modified xsi:type="dcterms:W3CDTF">2019-09-30T10:47:00Z</dcterms:modified>
</cp:coreProperties>
</file>